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Verdana" w:hAnsi="Verdana"/>
          <w:b/>
          <w:sz w:val="28"/>
          <w:szCs w:val="28"/>
          <w:lang w:val="en-US"/>
        </w:rPr>
        <w:t>ОТЧЕТ</w:t>
      </w:r>
      <w:r>
        <w:rPr>
          <w:rFonts w:ascii="Verdana" w:hAnsi="Verdana"/>
          <w:b/>
          <w:sz w:val="28"/>
          <w:szCs w:val="28"/>
        </w:rPr>
        <w:t>ЕН ДОКЛАД</w:t>
      </w:r>
    </w:p>
    <w:p>
      <w:pPr>
        <w:pStyle w:val="NoSpacing"/>
        <w:jc w:val="center"/>
        <w:rPr>
          <w:rFonts w:ascii="Verdana" w:hAnsi="Verdana"/>
          <w:sz w:val="28"/>
          <w:szCs w:val="28"/>
        </w:rPr>
      </w:pPr>
      <w:r>
        <w:rPr>
          <w:rFonts w:ascii="Verdana" w:hAnsi="Verdana"/>
          <w:sz w:val="28"/>
          <w:szCs w:val="28"/>
        </w:rPr>
        <w:t xml:space="preserve">на Настоятелството за дейността на </w:t>
      </w:r>
    </w:p>
    <w:p>
      <w:pPr>
        <w:pStyle w:val="NoSpacing"/>
        <w:jc w:val="center"/>
        <w:rPr/>
      </w:pPr>
      <w:r>
        <w:rPr>
          <w:rFonts w:ascii="Verdana" w:hAnsi="Verdana"/>
          <w:sz w:val="28"/>
          <w:szCs w:val="28"/>
        </w:rPr>
        <w:t>НЧ „Боян Пенев – 1949 г.” през 2021 година</w:t>
      </w:r>
    </w:p>
    <w:p>
      <w:pPr>
        <w:pStyle w:val="NoSpacing"/>
        <w:jc w:val="center"/>
        <w:rPr>
          <w:rFonts w:ascii="Verdana" w:hAnsi="Verdana"/>
          <w:sz w:val="28"/>
          <w:szCs w:val="28"/>
        </w:rPr>
      </w:pPr>
      <w:r>
        <w:rPr>
          <w:rFonts w:ascii="Verdana" w:hAnsi="Verdana"/>
          <w:sz w:val="28"/>
          <w:szCs w:val="28"/>
        </w:rPr>
      </w:r>
    </w:p>
    <w:p>
      <w:pPr>
        <w:pStyle w:val="NoSpacing"/>
        <w:rPr>
          <w:rFonts w:ascii="Verdana" w:hAnsi="Verdana"/>
        </w:rPr>
      </w:pPr>
      <w:r>
        <w:rPr>
          <w:rFonts w:ascii="Verdana" w:hAnsi="Verdana"/>
        </w:rPr>
      </w:r>
    </w:p>
    <w:p>
      <w:pPr>
        <w:pStyle w:val="NoSpacing"/>
        <w:jc w:val="center"/>
        <w:rPr>
          <w:rFonts w:ascii="Verdana" w:hAnsi="Verdana"/>
          <w:sz w:val="24"/>
          <w:szCs w:val="24"/>
        </w:rPr>
      </w:pPr>
      <w:r>
        <w:rPr>
          <w:rFonts w:ascii="Verdana" w:hAnsi="Verdana"/>
          <w:sz w:val="24"/>
          <w:szCs w:val="24"/>
        </w:rPr>
        <w:t>Уважаеми членове и гости на НЧ „Боян Пенев – 1949 г.”,</w:t>
      </w:r>
    </w:p>
    <w:p>
      <w:pPr>
        <w:pStyle w:val="NoSpacing"/>
        <w:widowControl/>
        <w:bidi w:val="0"/>
        <w:spacing w:lineRule="auto" w:line="240" w:before="0" w:after="0"/>
        <w:ind w:left="0" w:right="0" w:firstLine="567"/>
        <w:jc w:val="both"/>
        <w:rPr>
          <w:rFonts w:ascii="Verdana" w:hAnsi="Verdana"/>
          <w:sz w:val="24"/>
          <w:szCs w:val="24"/>
        </w:rPr>
      </w:pPr>
      <w:r>
        <w:rPr>
          <w:rFonts w:ascii="Verdana" w:hAnsi="Verdana"/>
          <w:sz w:val="24"/>
          <w:szCs w:val="24"/>
        </w:rPr>
        <w:t xml:space="preserve">Измина още една непредсказуема година под знака на КОВИД – 19 и произлизащите от него забрани и ограничения за свободен достъп до дейностите в читалището. Това наложи в определени периоди да преминаваме в дистанционна форма на работа, както и да провеждаме част от дейността си онлайн. </w:t>
      </w:r>
    </w:p>
    <w:p>
      <w:pPr>
        <w:pStyle w:val="NoSpacing"/>
        <w:widowControl/>
        <w:bidi w:val="0"/>
        <w:spacing w:lineRule="auto" w:line="240" w:before="0" w:after="0"/>
        <w:ind w:left="0" w:right="0" w:firstLine="567"/>
        <w:jc w:val="both"/>
        <w:rPr>
          <w:rFonts w:ascii="Verdana" w:hAnsi="Verdana"/>
          <w:sz w:val="24"/>
          <w:szCs w:val="24"/>
        </w:rPr>
      </w:pPr>
      <w:r>
        <w:rPr>
          <w:rFonts w:ascii="Verdana" w:hAnsi="Verdana"/>
          <w:sz w:val="24"/>
          <w:szCs w:val="24"/>
        </w:rPr>
      </w:r>
    </w:p>
    <w:p>
      <w:pPr>
        <w:pStyle w:val="NoSpacing"/>
        <w:widowControl/>
        <w:bidi w:val="0"/>
        <w:spacing w:lineRule="auto" w:line="240" w:before="0" w:after="0"/>
        <w:ind w:left="0" w:right="0" w:firstLine="567"/>
        <w:jc w:val="both"/>
        <w:rPr/>
      </w:pPr>
      <w:r>
        <w:rPr>
          <w:rFonts w:eastAsia="NSimSun" w:cs="Arial" w:ascii="Verdana" w:hAnsi="Verdana"/>
          <w:color w:val="auto"/>
          <w:kern w:val="2"/>
          <w:sz w:val="24"/>
          <w:szCs w:val="24"/>
          <w:lang w:val="bg-BG" w:eastAsia="zh-CN" w:bidi="hi-IN"/>
        </w:rPr>
        <w:t xml:space="preserve"> </w:t>
      </w:r>
      <w:r>
        <w:rPr>
          <w:rFonts w:eastAsia="NSimSun" w:cs="Arial" w:ascii="Verdana" w:hAnsi="Verdana"/>
          <w:color w:val="000000"/>
          <w:kern w:val="2"/>
          <w:sz w:val="24"/>
          <w:szCs w:val="24"/>
          <w:lang w:val="bg-BG" w:eastAsia="zh-CN" w:bidi="hi-IN"/>
        </w:rPr>
        <w:t>Приоритетни задачи за изминалия отчетен период бяха: уреждане и поддържане на общодостъпна библиотека; работа в школи и клубове; развитие и подпомагане на любителското художествено творчество;</w:t>
      </w:r>
      <w:r>
        <w:rPr>
          <w:rStyle w:val="Appleconvertedspace"/>
          <w:rFonts w:eastAsia="NSimSun" w:cs="Arial" w:ascii="Verdana" w:hAnsi="Verdana"/>
          <w:color w:val="000000"/>
          <w:kern w:val="2"/>
          <w:sz w:val="24"/>
          <w:szCs w:val="24"/>
          <w:lang w:val="bg-BG" w:eastAsia="zh-CN" w:bidi="hi-IN"/>
        </w:rPr>
        <w:t> </w:t>
      </w:r>
      <w:r>
        <w:rPr>
          <w:rFonts w:eastAsia="NSimSun" w:cs="Arial" w:ascii="Verdana" w:hAnsi="Verdana"/>
          <w:color w:val="000000"/>
          <w:kern w:val="2"/>
          <w:sz w:val="24"/>
          <w:szCs w:val="24"/>
          <w:lang w:val="bg-BG" w:eastAsia="zh-CN" w:bidi="hi-IN"/>
        </w:rPr>
        <w:t xml:space="preserve"> участие в конкурси, фестивали и събори; културно – просветна дейност; разработване и реализиране на проекти и др.</w:t>
      </w:r>
    </w:p>
    <w:p>
      <w:pPr>
        <w:pStyle w:val="NoSpacing"/>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color w:val="auto"/>
          <w:kern w:val="2"/>
          <w:sz w:val="24"/>
          <w:szCs w:val="24"/>
          <w:lang w:val="bg-BG" w:eastAsia="zh-CN" w:bidi="hi-IN"/>
        </w:rPr>
      </w:r>
    </w:p>
    <w:p>
      <w:pPr>
        <w:pStyle w:val="NoSpacing"/>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color w:val="auto"/>
          <w:kern w:val="2"/>
          <w:sz w:val="24"/>
          <w:szCs w:val="24"/>
          <w:lang w:val="bg-BG" w:eastAsia="zh-CN" w:bidi="hi-IN"/>
        </w:rPr>
        <w:t>І. Дейности</w:t>
      </w:r>
    </w:p>
    <w:p>
      <w:pPr>
        <w:pStyle w:val="NoSpacing"/>
        <w:ind w:left="0" w:right="0" w:firstLine="567"/>
        <w:jc w:val="both"/>
        <w:rPr>
          <w:rFonts w:ascii="Verdana" w:hAnsi="Verdana" w:eastAsia="NSimSun" w:cs="Arial"/>
          <w:b/>
          <w:b/>
          <w:color w:val="auto"/>
          <w:kern w:val="2"/>
          <w:sz w:val="24"/>
          <w:szCs w:val="24"/>
          <w:lang w:val="bg-BG" w:eastAsia="zh-CN" w:bidi="hi-IN"/>
        </w:rPr>
      </w:pPr>
      <w:r>
        <w:rPr>
          <w:rFonts w:eastAsia="NSimSun" w:cs="Arial" w:ascii="Verdana" w:hAnsi="Verdana"/>
          <w:b/>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color w:val="000000"/>
          <w:kern w:val="2"/>
          <w:sz w:val="24"/>
          <w:szCs w:val="24"/>
          <w:lang w:val="bg-BG" w:eastAsia="zh-CN" w:bidi="hi-IN"/>
        </w:rPr>
        <w:t>1. Библиотечна дейност</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Основна цел в библиотечната дейност е работата с  читатели и привличането им от най - ранна детска възраст. През 2016 г. в библиотеката са регистрирани 301 читатели. През 2021 г. в библиотеката са направени 1 268 посещения. Читалищната библиотека притежава фонд от 18 190 тома литература. В библиотеката се получават и 6 периодични издания. Новонабавените нови книги са 448 тома, като 248 са от дарения, а 200 тома са закупени по проект „Българските библиотеки – съвременни центрове за четене и информираност“ към Министерството на културата. Новонабавената  литература е на обща стойност 5 624,16 лв.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Библиотеката, като част от читалищната структура, организира и реализира  разнообразни културно – масови мероприятия. За популяризиране на библиотеката и на четенето се подреждат кътове от книги по повод бележити дати и събития, витрини и анотации на нови книги, предоставя се месечна информация за предстоящи годишнини и юбилеи.</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През месец април по повод 23.ІV – Международния ден на книгата и авторското право бяха организирани три отделни прояви с трите първи класа на СУ „Васил Левски“ под мотото „По следите на приказките“. Първокласниците се включиха в забавни игри и викторини, свързани с техни любими приказни герои. Спазихме и традиция първокласниците да посещават читалищната библиотека и да бъдат запознавани с правилата за ползване на услугите в нея и с богатия книжен фонд.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w:t>
      </w:r>
      <w:r>
        <w:rPr>
          <w:rFonts w:eastAsia="NSimSun" w:cs="Arial" w:ascii="Verdana" w:hAnsi="Verdana"/>
          <w:b w:val="false"/>
          <w:bCs w:val="false"/>
          <w:color w:val="000000"/>
          <w:kern w:val="2"/>
          <w:sz w:val="24"/>
          <w:szCs w:val="24"/>
          <w:lang w:val="bg-BG" w:eastAsia="zh-CN" w:bidi="hi-IN"/>
        </w:rPr>
        <w:t xml:space="preserve">Познавате ли приказните герои“- така бяха наречени двете прояви с  третите класове от СУ „Васил Левски“. Много емоции предизвикаха подготвените за тях забавните игри „Объркани заглавия“ и „Открий от коя приказка съм“, както и главоблъсканицата „Открий заглавие на приказка“. </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 </w:t>
      </w:r>
      <w:r>
        <w:rPr>
          <w:rFonts w:eastAsia="NSimSun" w:cs="Arial" w:ascii="Verdana" w:hAnsi="Verdana"/>
          <w:b w:val="false"/>
          <w:bCs w:val="false"/>
          <w:color w:val="000000"/>
          <w:kern w:val="2"/>
          <w:sz w:val="24"/>
          <w:szCs w:val="24"/>
          <w:lang w:val="bg-BG" w:eastAsia="zh-CN" w:bidi="hi-IN"/>
        </w:rPr>
        <w:t>През месеците март и април в онлайн рубриката „Заглавия и книги“ бяха публикувани 45 материала, в които бяха представени автори, книги, годишнини и интересни факти, свързани със създаването на някои произведения. Така информацията стигна до по-широк кръг читатели, дори и от чужбина.</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 </w:t>
      </w:r>
      <w:r>
        <w:rPr>
          <w:rFonts w:eastAsia="NSimSun" w:cs="Arial" w:ascii="Verdana" w:hAnsi="Verdana"/>
          <w:b/>
          <w:bCs/>
          <w:color w:val="000000"/>
          <w:kern w:val="2"/>
          <w:sz w:val="24"/>
          <w:szCs w:val="24"/>
          <w:lang w:val="bg-BG" w:eastAsia="zh-CN" w:bidi="hi-IN"/>
        </w:rPr>
        <w:t>ШКОЛИ, КЛУБОВЕ, СЪСТАВИ ЗА ЛЮБИТЕЛСКО ТВОРЧЕСТВО</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Важна задача в дейността на читалището е да предоставя възможност на деца и възрастни да се обучават, да развиват талантите и уменията си в школите, клубовете и съставите за любителско творчество. Работата им през цялата година беше нарушена заради забраните и ограниченията, които съпътстваха епидемията от КОВИД – 19. През част от годината тези формации работиха дистанционно, но да поставиш танц виждайки децата на монитора е много трудно и дори невъзможно. Съвсем накратко ще ви ги представим онова, което успяха да направят:</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bCs/>
          <w:color w:val="000000"/>
          <w:kern w:val="2"/>
          <w:sz w:val="24"/>
          <w:szCs w:val="24"/>
          <w:lang w:val="bg-BG" w:eastAsia="zh-CN" w:bidi="hi-IN"/>
        </w:rPr>
        <w:t>Школа по класически танци</w:t>
      </w:r>
      <w:r>
        <w:rPr>
          <w:rFonts w:eastAsia="NSimSun" w:cs="Arial" w:ascii="Verdana" w:hAnsi="Verdana"/>
          <w:b w:val="false"/>
          <w:bCs w:val="false"/>
          <w:color w:val="000000"/>
          <w:kern w:val="2"/>
          <w:sz w:val="24"/>
          <w:szCs w:val="24"/>
          <w:lang w:val="bg-BG" w:eastAsia="zh-CN" w:bidi="hi-IN"/>
        </w:rPr>
        <w:t xml:space="preserve">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В балетната школа с художествен ръководител Светла Денчева се обучават около 28 деца. През месец юни успяхме да реализираме годишният балетен концерт под наслов „Испанска сюита”. Концертът беше проведен на сцената на ДКТ „Васил Друмев“ съвместно с балетната школа при Центъра за подкрепа и личностно развитие „Анастас Стоянов“. Концертът беше в две части: І част – лирична, представяща сънят на Дон Кихот от балета „Дон Кихот“, а във ІІ част бяха представени характерни танци от същия балет. На концерта присъстваха около 220 души, като беше спазено изискването за сядане през стол. Както традиционно през месец декември представя и коледен балетен концерт, но за втора поредна година това нямаше как  да се случи. За сметка на това малките балеринки поздравиха своите почитатели с коледен клип под наслов „В очакване на Коледа“. В репетиционната зала на читалището беше направен коледен декор, а момичетата от школата, облечени в красиви балетни костюми и с подходящи коледни атрибути, заставаха пред обектива в любими балетни пози. От направените снимки беше изработен клип, които беше излъчен в социалните мрежи по време на коледните празници. </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bCs/>
          <w:color w:val="000000"/>
          <w:kern w:val="2"/>
          <w:sz w:val="24"/>
          <w:szCs w:val="24"/>
          <w:lang w:val="bg-BG" w:eastAsia="zh-CN" w:bidi="hi-IN"/>
        </w:rPr>
        <w:t>ДЕТСКИ ТАНЦОВ СЪСТАВ „ПЛАМЪЧЕ“</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През 2021 г. в състава се обучаваха около 45 деца, разделени в две групи: подготвителна група и концертен състав. Ръководител на състава е Ростислав Борисов. Съставът участва в няколко конкурса и фестивала. В Националния конкурс „Децата на България пеят, рисуват, танцуват“ и в онлайн фестивала „Е – фест“ те бяха класирани на второ място, а в Националния фолклорен фестивал „Насред мегдана в Арбанаси“ завоюваха наградата за новосъздаден танцов състав. Малките танцьори участваха със свои изпълнения или с концертни програми и във Фолклорен фестивал „Шумла“, в Кулинарния фестивал „Забравени традиции“ – с. Васил Друмев,  в Празник на чушката и на домата в с. Мараш, в Музикално-танцовия спектакъл „Пролетно пробуждане“, организиран от Агенция за таланти и модели „Фаворит“, представи и камерен народен танц пред чуждестранни гости на ДГ „Братя Грим“, работещи съвместно по проект.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За Деня на самодееца и за Баба Марта за най-малките самодейци бяха организирани забавни игри и почерпка. Децата си размениха и мартенички с пожелание за здраве, а за Международния ден на танца бяха организирани две партита – за подготвителната група и за по-големите танцьори.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През месец юни на голямата сцена на Младежкия дом се проведе годишния концерт на ДТС „Пламъче“ наречен „Вечер по извора“. Съставът изпълни 7 танца от различни фолклорни области. В концерта участваха и индивидуални изпълнители на народни песни, както и ТС „Дивдядово“.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А творческият сезон беше закрит с отново с парти, но не какво да е, а „морско“ парти, защото сините балони и рибките, с които беше украсена залата напомняха, че е време за почивка и море.</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В края на годината в социалните медии беше разпостранено клипчето, в което децата от ДТС „Пламъче“ отправяха своите коледни пожелания към най-близките си хора.</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През годината децата ат детския танцов състав работиха и по два проекта, разработени от техния художествен ръководител Ростислав Борисов.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По проекта „Телепортирай ме в миналото“ одобрен по програма „Младежки дейности“ участваха около 40 деца от състава. През месец август на открито пред читалището бяха организирани уъркшоп по фолклорни танци, сцена на талантите, творчески ателиета, разучени бяха стари детски игри.</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Проектът „Празниците в народния календар“ беше одобрен от Общински фонд „Култура“. В този проект се включиха 20 деца. По-голяма част от дейностите се проведоха през месец септември. В рамките на проекта участниците бяха запознати с обичаите „Еньова буля“, „Гергьовден“ и „Сирни заговезни“. Заснети бяха и 4 видеоклипа на народни танци. Резултатите от тези дейности бяха представени онлайн пред деца от ДГ „Братя Грим“ и ДГ „Буратино“, както и пред ученици от СУ „Сава Доброплодни“.</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bCs/>
          <w:color w:val="000000"/>
          <w:kern w:val="2"/>
          <w:sz w:val="24"/>
          <w:szCs w:val="24"/>
          <w:lang w:val="bg-BG" w:eastAsia="zh-CN" w:bidi="hi-IN"/>
        </w:rPr>
        <w:t>ТАНЦОВ КЛУБ „ШУМНАЛИИ“</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Времето, през което клубът имаше възможност да работи пълноценно през изминалата година, не е много голямо. Въпреки това членовете му  успяха да се подготвят и да участват в немалко прояви. През месец февруари беше организирана седмица на балканските танци, в която клубът участва много активно. В рамките на тази проява 30 души разучаваха румънски и гръцки танци.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През месец юли част от клуба се включи във възстановката „Освобождението на Шумен“, проведена на пл. „Кристал“ по повод Освобождението на Шумен. През същия месец те отпразнуваха и втората годишнина от създаването на клуба.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27 танцьори представиха достойно клуба и читалището на Фолклорния фестивал „Хоро край поморийския бряг“. Те се включиха в дефилето, в семинарите и в концертната програма. Успешно се представиха и на  Фолклорния фестивал „Шумла“, участваха и в „Празник на чушката и на домата“ в с. Мараш. Част от танцьорите участваха и в заснемането на танца „Вълшебна картина“ по хореография на Ростислав Борисов.</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bCs/>
          <w:color w:val="000000"/>
          <w:kern w:val="2"/>
          <w:sz w:val="24"/>
          <w:szCs w:val="24"/>
          <w:lang w:val="bg-BG" w:eastAsia="zh-CN" w:bidi="hi-IN"/>
        </w:rPr>
        <w:t>КУЛТУРНО – МАСОВА ДЕЙНОСТ</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Трудна беше година за осъществяване на културни прояви, поради множеството ограничения, свързани с пандемията, както и със страха на хората от заразяване при такива по-масови събития. Вероятно ще мине време, докато си върнем публиката. Затова през годината работихме по-активно със самодейците на читалището. Някои от тях бяха проведени онлайн, а други – на живо. Вече чухте за част от проявите, които организирахме със самодейците, а  тук ще допълним и за някои от другите прояви. Започнахме годината с онлайн презентация за Бабинден, в която разказахме какви са традициите и обичаите на този празник.   В първия месец на годината е и рожденния ден на читалището – 23.І. По повод 72 години от създаването на читалището подредихме ретроспективна изложба от снимков материал, проследяваща развитието на дейностите на читалището.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На открито в ДГ „Братя Грим“ беше проведена традиционната викторина, посветена на Деня на Европа, в която децата от групите „Хензел и Гретел“ и „Братче и сестриче“ показаха много знания за Европа и за Европейския съюз. За награда получиха лакомства и подаръци от читалището и от ЕИЦ „Европа директно“.</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С два от първите класове на СУ „Васил Левски“ проведохме тържества за завършване на учебната година под наслов „Вече сме грамотни“, на които учениците рецитираха, пяха песни, отговаряха на гатанки и получиха подаръци.</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С Клуба на пенсионера по традиция отбелязахме Никулден с припомняне на традициите за празника, прекадяване на трапезата, на която присъства никулденския шаран и с песни за празника.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w:t>
      </w:r>
      <w:r>
        <w:rPr>
          <w:rFonts w:eastAsia="NSimSun" w:cs="Arial" w:ascii="Verdana" w:hAnsi="Verdana"/>
          <w:b w:val="false"/>
          <w:bCs w:val="false"/>
          <w:color w:val="000000"/>
          <w:kern w:val="2"/>
          <w:sz w:val="24"/>
          <w:szCs w:val="24"/>
          <w:lang w:val="bg-BG" w:eastAsia="zh-CN" w:bidi="hi-IN"/>
        </w:rPr>
        <w:t xml:space="preserve">Димитър иде, зима носи“ – така нарекохме проявата, посветена на Димитровден. Разказахме за традициите и поверията, свързани с празника, който слага край на селскостопанската работа, разпускат се ратаите и започва зимата.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Няколко дни преди Деня на християнското семейство с група деца изработихме ръчно красиви картички, на които децата написаха своите послания и пожелания към семействата си и на самия празник подариха картичките на своите близки.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А по случай Деня на поезията организирахме поетичен маратон, в който се включиха екипа на читалището, самодейци и читатели на библиотеката. Всички желаещи прочетоха свои любими стихотворения, а книгите бяха осигурени от читалищната библиотека.</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Споменахме вече за участието на нашите танцови състави в концертната програма на Фолклорния фестивал „Шумла“, но тук ще допълня, че участвахме и във кулинарната изложба с над 20 ястия и спечелихме поощрителна награда. Тук искам да благодаря на част от танцьорите от ТК „Шумналии“, които се направиха интересни ястия и се включиха в кулинарната изложба.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Ще завърша представянето на културно-масовата дейност с едно от най-важните събития в календара на читалището – Националния конкурс „България в сърцата и мечтите ни“, който провеждаме съвместно с ДГ „Братя Грим“ и ДГ „Дружба“. През 2021 г. в конкурса се включи и Общинско предприятие „Туризъм, публични прояви и атракции“, които връчиха три специални награди по повод 40 години от откриването на мемориален комплекс „Създатели на българската държава“. В конкурса участваха 209 деца и ученици, които представиха 217 свои рисунки и литературни творби. Участници имахме от различни кътчета на България – Шумен, Казанлък, Раднево, Нова Загора, Русе, Трявна, Сливен, с. Добровница, Старозагорска област, Варна, Свищов, Перник, Троян, София, Търговище, Попово и др. На тържество, проведено в навечерието на 24 май, бяха наградени част от победители в конкурса, а именно тези, които са от Шумен. На останалите наградите бяха изпратени по пощата. </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bCs/>
          <w:color w:val="000000"/>
          <w:kern w:val="2"/>
          <w:sz w:val="24"/>
          <w:szCs w:val="24"/>
          <w:lang w:val="bg-BG" w:eastAsia="zh-CN" w:bidi="hi-IN"/>
        </w:rPr>
        <w:t>МАТЕРИАЛНА БАЗА</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След няколко внесените докладни записки до Община Шумен, касаещи неотложна нужда от ремонти, през лятото беше извършен частичен ремонт на покрива. Освен това бяха сменени и някои осветителни тела, електрически контакти и ключове и др. Като цяло материално-техническата база на читалището е остаряла и има нужда от основни ремонти, обзавеждане и техническо оборудване. </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bCs/>
          <w:color w:val="000000"/>
          <w:kern w:val="2"/>
          <w:sz w:val="24"/>
          <w:szCs w:val="24"/>
          <w:lang w:val="bg-BG" w:eastAsia="zh-CN" w:bidi="hi-IN"/>
        </w:rPr>
        <w:t>ЗДРАВОСЛОВНИ И БЕЗОПАСНИ УСЛОВИЯ НА ТРУД</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Разработена е политика за здравословни и безопасни условия на труд. Сключен е договор със Служба по трудова медицина, която се грижи за своевременното изготвяне и актуализация на цялостната документация, свързана с безопасните условия на труд в читалището. Ежегодно се правят необходимите замервания на осветеност, съпротивление на защитна заземителна уредба и др. Редовно се извършват необходимите инструктажи на работещите в читалището. </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Уважаеми членове и гости,  въпреки трудностите и предизвикателствата Настоятелството, щатния и нещатния екип на читалището продължават да работят за привличане на нови партньори, както и в посока на подобряване на предлаганите услуги с цел привличане на нови потребители. Изказваме голямата си благодарност към членовете и ползвателите на читалищни услуги, които ни подкрепят и ни вдъхват сили и надежди да продължим благородното си дело. </w:t>
      </w:r>
    </w:p>
    <w:p>
      <w:pPr>
        <w:pStyle w:val="NoSpacing"/>
        <w:widowControl/>
        <w:bidi w:val="0"/>
        <w:spacing w:lineRule="auto" w:line="240" w:before="0" w:after="0"/>
        <w:ind w:left="0" w:right="0" w:firstLine="567"/>
        <w:jc w:val="both"/>
        <w:rPr>
          <w:rFonts w:ascii="Verdana" w:hAnsi="Verdana" w:eastAsia="NSimSun" w:cs="Arial"/>
          <w:color w:val="auto"/>
          <w:kern w:val="2"/>
          <w:sz w:val="24"/>
          <w:szCs w:val="24"/>
          <w:lang w:val="bg-BG" w:eastAsia="zh-CN" w:bidi="hi-IN"/>
        </w:rPr>
      </w:pPr>
      <w:r>
        <w:rPr>
          <w:rFonts w:eastAsia="NSimSun" w:cs="Arial" w:ascii="Verdana" w:hAnsi="Verdana"/>
          <w:b w:val="false"/>
          <w:bCs w:val="false"/>
          <w:color w:val="000000"/>
          <w:kern w:val="2"/>
          <w:sz w:val="24"/>
          <w:szCs w:val="24"/>
          <w:lang w:val="bg-BG" w:eastAsia="zh-CN" w:bidi="hi-IN"/>
        </w:rPr>
        <w:t xml:space="preserve">  </w:t>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eastAsia="NSimSun" w:cs="Arial"/>
          <w:b w:val="false"/>
          <w:b w:val="false"/>
          <w:bCs w:val="false"/>
          <w:color w:val="auto"/>
          <w:kern w:val="2"/>
          <w:sz w:val="24"/>
          <w:szCs w:val="24"/>
          <w:lang w:val="bg-BG" w:eastAsia="zh-CN" w:bidi="hi-IN"/>
        </w:rPr>
      </w:pPr>
      <w:r>
        <w:rPr>
          <w:rFonts w:eastAsia="NSimSun" w:cs="Arial" w:ascii="Verdana" w:hAnsi="Verdana"/>
          <w:b w:val="false"/>
          <w:bCs w:val="false"/>
          <w:color w:val="auto"/>
          <w:kern w:val="2"/>
          <w:sz w:val="24"/>
          <w:szCs w:val="24"/>
          <w:lang w:val="bg-BG" w:eastAsia="zh-CN" w:bidi="hi-IN"/>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Spacing"/>
        <w:widowControl/>
        <w:bidi w:val="0"/>
        <w:spacing w:lineRule="auto" w:line="240" w:before="0" w:after="0"/>
        <w:ind w:left="0" w:right="0" w:firstLine="567"/>
        <w:jc w:val="both"/>
        <w:rPr>
          <w:rFonts w:ascii="Verdana" w:hAnsi="Verdana" w:cs="Arial"/>
          <w:b w:val="false"/>
          <w:b w:val="false"/>
          <w:bCs w:val="false"/>
          <w:color w:val="000000"/>
          <w:sz w:val="24"/>
          <w:szCs w:val="24"/>
          <w:lang w:val="bg-BG"/>
        </w:rPr>
      </w:pPr>
      <w:r>
        <w:rPr>
          <w:rFonts w:cs="Arial" w:ascii="Verdana" w:hAnsi="Verdana"/>
          <w:b w:val="false"/>
          <w:bCs w:val="false"/>
          <w:color w:val="000000"/>
          <w:sz w:val="24"/>
          <w:szCs w:val="24"/>
          <w:lang w:val="bg-BG"/>
        </w:rPr>
      </w:r>
    </w:p>
    <w:p>
      <w:pPr>
        <w:pStyle w:val="Normal"/>
        <w:bidi w:val="0"/>
        <w:jc w:val="center"/>
        <w:rPr>
          <w:rFonts w:ascii="Arial" w:hAnsi="Arial" w:cs="Arial"/>
          <w:b w:val="false"/>
          <w:b w:val="false"/>
          <w:bCs w:val="false"/>
          <w:color w:val="000000"/>
          <w:sz w:val="24"/>
          <w:szCs w:val="24"/>
          <w:highlight w:val="cyan"/>
          <w:lang w:val="bg-BG"/>
        </w:rPr>
      </w:pPr>
      <w:r>
        <w:rPr>
          <w:rFonts w:cs="Arial" w:ascii="Arial" w:hAnsi="Arial"/>
          <w:b w:val="false"/>
          <w:bCs w:val="false"/>
          <w:color w:val="000000"/>
          <w:sz w:val="24"/>
          <w:szCs w:val="24"/>
          <w:highlight w:val="cyan"/>
          <w:lang w:val="bg-BG"/>
        </w:rPr>
      </w:r>
    </w:p>
    <w:p>
      <w:pPr>
        <w:pStyle w:val="Normal"/>
        <w:bidi w:val="0"/>
        <w:jc w:val="center"/>
        <w:rPr>
          <w:b/>
          <w:b/>
          <w:sz w:val="28"/>
          <w:szCs w:val="28"/>
        </w:rPr>
      </w:pPr>
      <w:r>
        <w:rPr>
          <w:b/>
          <w:sz w:val="28"/>
          <w:szCs w:val="28"/>
        </w:rPr>
        <w:t>Списъци на членовете на Читалищното настоятелство и Проверителната комисия, избрани на Общо отчетно – изборно събрание на НЧ „Боян Пенев – 1949 г.”, проведено на 27.03.2019 г.</w:t>
      </w:r>
    </w:p>
    <w:p>
      <w:pPr>
        <w:pStyle w:val="Normal"/>
        <w:bidi w:val="0"/>
        <w:jc w:val="both"/>
        <w:rPr>
          <w:sz w:val="28"/>
          <w:szCs w:val="28"/>
        </w:rPr>
      </w:pPr>
      <w:r>
        <w:rPr>
          <w:sz w:val="28"/>
          <w:szCs w:val="28"/>
        </w:rPr>
      </w:r>
    </w:p>
    <w:p>
      <w:pPr>
        <w:pStyle w:val="Normal"/>
        <w:bidi w:val="0"/>
        <w:jc w:val="both"/>
        <w:rPr>
          <w:b/>
          <w:b/>
          <w:sz w:val="28"/>
          <w:szCs w:val="28"/>
        </w:rPr>
      </w:pPr>
      <w:r>
        <w:rPr>
          <w:b/>
          <w:sz w:val="28"/>
          <w:szCs w:val="28"/>
        </w:rPr>
      </w:r>
    </w:p>
    <w:p>
      <w:pPr>
        <w:pStyle w:val="Normal"/>
        <w:bidi w:val="0"/>
        <w:jc w:val="both"/>
        <w:rPr>
          <w:b/>
          <w:b/>
          <w:sz w:val="28"/>
          <w:szCs w:val="28"/>
        </w:rPr>
      </w:pPr>
      <w:r>
        <w:rPr>
          <w:b/>
          <w:sz w:val="28"/>
          <w:szCs w:val="28"/>
        </w:rPr>
      </w:r>
    </w:p>
    <w:p>
      <w:pPr>
        <w:pStyle w:val="Normal"/>
        <w:bidi w:val="0"/>
        <w:jc w:val="both"/>
        <w:rPr/>
      </w:pPr>
      <w:r>
        <w:rPr>
          <w:b/>
          <w:sz w:val="28"/>
          <w:szCs w:val="28"/>
        </w:rPr>
        <w:t>Ч</w:t>
      </w:r>
      <w:r>
        <w:rPr>
          <w:b/>
          <w:sz w:val="28"/>
          <w:szCs w:val="28"/>
          <w:lang w:val="en-US"/>
        </w:rPr>
        <w:t>италищното настоятелство</w:t>
      </w:r>
      <w:r>
        <w:rPr>
          <w:b/>
          <w:sz w:val="28"/>
          <w:szCs w:val="28"/>
        </w:rPr>
        <w:t>:</w:t>
      </w:r>
    </w:p>
    <w:p>
      <w:pPr>
        <w:pStyle w:val="Normal"/>
        <w:bidi w:val="0"/>
        <w:ind w:left="0" w:right="0" w:firstLine="567"/>
        <w:jc w:val="both"/>
        <w:rPr>
          <w:sz w:val="28"/>
          <w:szCs w:val="28"/>
        </w:rPr>
      </w:pPr>
      <w:r>
        <w:rPr>
          <w:sz w:val="28"/>
          <w:szCs w:val="28"/>
        </w:rPr>
        <w:t xml:space="preserve"> </w:t>
      </w:r>
    </w:p>
    <w:p>
      <w:pPr>
        <w:pStyle w:val="ListParagraph"/>
        <w:numPr>
          <w:ilvl w:val="0"/>
          <w:numId w:val="2"/>
        </w:numPr>
        <w:bidi w:val="0"/>
        <w:jc w:val="both"/>
        <w:rPr>
          <w:sz w:val="28"/>
          <w:szCs w:val="28"/>
        </w:rPr>
      </w:pPr>
      <w:r>
        <w:rPr>
          <w:sz w:val="28"/>
          <w:szCs w:val="28"/>
        </w:rPr>
        <w:t xml:space="preserve">Димитър Стефанов Димиев - Председател </w:t>
      </w:r>
    </w:p>
    <w:p>
      <w:pPr>
        <w:pStyle w:val="ListParagraph"/>
        <w:numPr>
          <w:ilvl w:val="0"/>
          <w:numId w:val="2"/>
        </w:numPr>
        <w:bidi w:val="0"/>
        <w:jc w:val="both"/>
        <w:rPr>
          <w:sz w:val="28"/>
          <w:szCs w:val="28"/>
        </w:rPr>
      </w:pPr>
      <w:r>
        <w:rPr>
          <w:sz w:val="28"/>
          <w:szCs w:val="28"/>
        </w:rPr>
        <w:t xml:space="preserve">Виолета Василева Папазова </w:t>
      </w:r>
    </w:p>
    <w:p>
      <w:pPr>
        <w:pStyle w:val="ListParagraph"/>
        <w:numPr>
          <w:ilvl w:val="0"/>
          <w:numId w:val="2"/>
        </w:numPr>
        <w:bidi w:val="0"/>
        <w:jc w:val="both"/>
        <w:rPr>
          <w:sz w:val="28"/>
          <w:szCs w:val="28"/>
        </w:rPr>
      </w:pPr>
      <w:r>
        <w:rPr>
          <w:sz w:val="28"/>
          <w:szCs w:val="28"/>
        </w:rPr>
        <w:t xml:space="preserve">Иванка Георгиева Джелепова </w:t>
      </w:r>
    </w:p>
    <w:p>
      <w:pPr>
        <w:pStyle w:val="ListParagraph"/>
        <w:numPr>
          <w:ilvl w:val="0"/>
          <w:numId w:val="2"/>
        </w:numPr>
        <w:bidi w:val="0"/>
        <w:jc w:val="both"/>
        <w:rPr>
          <w:sz w:val="28"/>
          <w:szCs w:val="28"/>
        </w:rPr>
      </w:pPr>
      <w:r>
        <w:rPr>
          <w:sz w:val="28"/>
          <w:szCs w:val="28"/>
        </w:rPr>
        <w:t xml:space="preserve">Юлия Златанова Христова </w:t>
      </w:r>
    </w:p>
    <w:p>
      <w:pPr>
        <w:pStyle w:val="ListParagraph"/>
        <w:numPr>
          <w:ilvl w:val="0"/>
          <w:numId w:val="2"/>
        </w:numPr>
        <w:bidi w:val="0"/>
        <w:jc w:val="both"/>
        <w:rPr>
          <w:sz w:val="28"/>
          <w:szCs w:val="28"/>
        </w:rPr>
      </w:pPr>
      <w:r>
        <w:rPr>
          <w:sz w:val="28"/>
          <w:szCs w:val="28"/>
        </w:rPr>
        <w:t xml:space="preserve">Катерина Миткова Обретенова </w:t>
      </w:r>
    </w:p>
    <w:p>
      <w:pPr>
        <w:pStyle w:val="ListParagraph"/>
        <w:numPr>
          <w:ilvl w:val="0"/>
          <w:numId w:val="2"/>
        </w:numPr>
        <w:bidi w:val="0"/>
        <w:jc w:val="both"/>
        <w:rPr>
          <w:sz w:val="28"/>
          <w:szCs w:val="28"/>
        </w:rPr>
      </w:pPr>
      <w:r>
        <w:rPr>
          <w:sz w:val="28"/>
          <w:szCs w:val="28"/>
        </w:rPr>
        <w:t xml:space="preserve">Евгения Цветанова Панова </w:t>
      </w:r>
    </w:p>
    <w:p>
      <w:pPr>
        <w:pStyle w:val="ListParagraph"/>
        <w:numPr>
          <w:ilvl w:val="0"/>
          <w:numId w:val="2"/>
        </w:numPr>
        <w:bidi w:val="0"/>
        <w:jc w:val="both"/>
        <w:rPr>
          <w:sz w:val="28"/>
          <w:szCs w:val="28"/>
        </w:rPr>
      </w:pPr>
      <w:r>
        <w:rPr>
          <w:sz w:val="28"/>
          <w:szCs w:val="28"/>
        </w:rPr>
        <w:t xml:space="preserve">Светла Денчева Станчева </w:t>
      </w:r>
    </w:p>
    <w:p>
      <w:pPr>
        <w:pStyle w:val="Normal"/>
        <w:bidi w:val="0"/>
        <w:ind w:left="180" w:right="0" w:hanging="0"/>
        <w:jc w:val="both"/>
        <w:rPr>
          <w:sz w:val="28"/>
          <w:szCs w:val="28"/>
        </w:rPr>
      </w:pPr>
      <w:r>
        <w:rPr>
          <w:sz w:val="28"/>
          <w:szCs w:val="28"/>
        </w:rPr>
      </w:r>
    </w:p>
    <w:p>
      <w:pPr>
        <w:pStyle w:val="Normal"/>
        <w:bidi w:val="0"/>
        <w:ind w:left="180" w:right="0" w:hanging="0"/>
        <w:jc w:val="both"/>
        <w:rPr>
          <w:sz w:val="28"/>
          <w:szCs w:val="28"/>
        </w:rPr>
      </w:pPr>
      <w:r>
        <w:rPr>
          <w:sz w:val="28"/>
          <w:szCs w:val="28"/>
        </w:rPr>
      </w:r>
    </w:p>
    <w:p>
      <w:pPr>
        <w:pStyle w:val="Normal"/>
        <w:bidi w:val="0"/>
        <w:jc w:val="both"/>
        <w:rPr>
          <w:b/>
          <w:b/>
          <w:sz w:val="28"/>
          <w:szCs w:val="28"/>
        </w:rPr>
      </w:pPr>
      <w:r>
        <w:rPr>
          <w:b/>
          <w:sz w:val="28"/>
          <w:szCs w:val="28"/>
        </w:rPr>
        <w:t>Проверителната комисия:</w:t>
      </w:r>
    </w:p>
    <w:p>
      <w:pPr>
        <w:pStyle w:val="Normal"/>
        <w:bidi w:val="0"/>
        <w:jc w:val="both"/>
        <w:rPr>
          <w:sz w:val="28"/>
          <w:szCs w:val="28"/>
        </w:rPr>
      </w:pPr>
      <w:r>
        <w:rPr>
          <w:sz w:val="28"/>
          <w:szCs w:val="28"/>
        </w:rPr>
      </w:r>
    </w:p>
    <w:p>
      <w:pPr>
        <w:pStyle w:val="ListParagraph"/>
        <w:numPr>
          <w:ilvl w:val="0"/>
          <w:numId w:val="1"/>
        </w:numPr>
        <w:bidi w:val="0"/>
        <w:jc w:val="both"/>
        <w:rPr>
          <w:sz w:val="28"/>
          <w:szCs w:val="28"/>
        </w:rPr>
      </w:pPr>
      <w:r>
        <w:rPr>
          <w:sz w:val="28"/>
          <w:szCs w:val="28"/>
        </w:rPr>
        <w:t xml:space="preserve">Начка Господинова Димова - Председател </w:t>
      </w:r>
    </w:p>
    <w:p>
      <w:pPr>
        <w:pStyle w:val="ListParagraph"/>
        <w:numPr>
          <w:ilvl w:val="0"/>
          <w:numId w:val="1"/>
        </w:numPr>
        <w:bidi w:val="0"/>
        <w:jc w:val="both"/>
        <w:rPr>
          <w:sz w:val="28"/>
          <w:szCs w:val="28"/>
        </w:rPr>
      </w:pPr>
      <w:r>
        <w:rPr>
          <w:sz w:val="28"/>
          <w:szCs w:val="28"/>
        </w:rPr>
        <w:t>Жулиета Дончева Нешкова</w:t>
      </w:r>
    </w:p>
    <w:p>
      <w:pPr>
        <w:pStyle w:val="ListParagraph"/>
        <w:numPr>
          <w:ilvl w:val="0"/>
          <w:numId w:val="1"/>
        </w:numPr>
        <w:bidi w:val="0"/>
        <w:jc w:val="both"/>
        <w:rPr/>
      </w:pPr>
      <w:r>
        <w:rPr>
          <w:sz w:val="28"/>
          <w:szCs w:val="28"/>
        </w:rPr>
        <w:t xml:space="preserve">Свилен Красимиров Динков </w:t>
      </w:r>
    </w:p>
    <w:p>
      <w:pPr>
        <w:pStyle w:val="ListParagraph"/>
        <w:widowControl/>
        <w:bidi w:val="0"/>
        <w:spacing w:lineRule="auto" w:line="240" w:before="0" w:after="0"/>
        <w:ind w:left="0" w:right="0" w:hanging="0"/>
        <w:contextualSpacing/>
        <w:jc w:val="both"/>
        <w:rPr>
          <w:rFonts w:ascii="Arial" w:hAnsi="Arial" w:cs="Arial"/>
          <w:b w:val="false"/>
          <w:b w:val="false"/>
          <w:bCs w:val="false"/>
          <w:color w:val="000000"/>
          <w:sz w:val="28"/>
          <w:szCs w:val="28"/>
          <w:highlight w:val="cyan"/>
          <w:lang w:val="bg-BG"/>
        </w:rPr>
      </w:pPr>
      <w:r>
        <w:rPr>
          <w:rFonts w:cs="Arial" w:ascii="Arial" w:hAnsi="Arial"/>
          <w:b w:val="false"/>
          <w:bCs w:val="false"/>
          <w:color w:val="000000"/>
          <w:sz w:val="28"/>
          <w:szCs w:val="28"/>
          <w:highlight w:val="cyan"/>
          <w:lang w:val="bg-BG"/>
        </w:rPr>
      </w:r>
    </w:p>
    <w:p>
      <w:pPr>
        <w:pStyle w:val="ListParagraph"/>
        <w:widowControl/>
        <w:bidi w:val="0"/>
        <w:spacing w:lineRule="auto" w:line="240" w:before="0" w:after="0"/>
        <w:ind w:left="0" w:right="0" w:hanging="0"/>
        <w:contextualSpacing/>
        <w:jc w:val="both"/>
        <w:rPr>
          <w:rFonts w:ascii="Arial" w:hAnsi="Arial" w:cs="Arial"/>
          <w:b w:val="false"/>
          <w:b w:val="false"/>
          <w:bCs w:val="false"/>
          <w:color w:val="000000"/>
          <w:sz w:val="28"/>
          <w:szCs w:val="28"/>
          <w:highlight w:val="cyan"/>
          <w:lang w:val="bg-BG"/>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440" w:hanging="360"/>
      </w:pPr>
    </w:lvl>
    <w:lvl w:ilvl="2">
      <w:start w:val="1"/>
      <w:numFmt w:val="lowerRoman"/>
      <w:lvlText w:val="%2.%3"/>
      <w:lvlJc w:val="right"/>
      <w:pPr>
        <w:tabs>
          <w:tab w:val="num" w:pos="1440"/>
        </w:tabs>
        <w:ind w:left="2160" w:hanging="180"/>
      </w:pPr>
    </w:lvl>
    <w:lvl w:ilvl="3">
      <w:start w:val="1"/>
      <w:numFmt w:val="decimal"/>
      <w:lvlText w:val="%3.%4"/>
      <w:lvlJc w:val="left"/>
      <w:pPr>
        <w:tabs>
          <w:tab w:val="num" w:pos="1800"/>
        </w:tabs>
        <w:ind w:left="2880" w:hanging="360"/>
      </w:pPr>
    </w:lvl>
    <w:lvl w:ilvl="4">
      <w:start w:val="1"/>
      <w:numFmt w:val="lowerLetter"/>
      <w:lvlText w:val="%4.%5"/>
      <w:lvlJc w:val="left"/>
      <w:pPr>
        <w:tabs>
          <w:tab w:val="num" w:pos="2160"/>
        </w:tabs>
        <w:ind w:left="3600" w:hanging="360"/>
      </w:pPr>
    </w:lvl>
    <w:lvl w:ilvl="5">
      <w:start w:val="1"/>
      <w:numFmt w:val="lowerRoman"/>
      <w:lvlText w:val="%5.%6"/>
      <w:lvlJc w:val="right"/>
      <w:pPr>
        <w:tabs>
          <w:tab w:val="num" w:pos="2520"/>
        </w:tabs>
        <w:ind w:left="4320" w:hanging="180"/>
      </w:pPr>
    </w:lvl>
    <w:lvl w:ilvl="6">
      <w:start w:val="1"/>
      <w:numFmt w:val="decimal"/>
      <w:lvlText w:val="%6.%7"/>
      <w:lvlJc w:val="left"/>
      <w:pPr>
        <w:tabs>
          <w:tab w:val="num" w:pos="2880"/>
        </w:tabs>
        <w:ind w:left="5040" w:hanging="360"/>
      </w:pPr>
    </w:lvl>
    <w:lvl w:ilvl="7">
      <w:start w:val="1"/>
      <w:numFmt w:val="lowerLetter"/>
      <w:lvlText w:val="%7.%8"/>
      <w:lvlJc w:val="left"/>
      <w:pPr>
        <w:tabs>
          <w:tab w:val="num" w:pos="3240"/>
        </w:tabs>
        <w:ind w:left="5760" w:hanging="360"/>
      </w:pPr>
    </w:lvl>
    <w:lvl w:ilvl="8">
      <w:start w:val="1"/>
      <w:numFmt w:val="lowerRoman"/>
      <w:lvlText w:val="%8.%9"/>
      <w:lvlJc w:val="right"/>
      <w:pPr>
        <w:tabs>
          <w:tab w:val="num" w:pos="3600"/>
        </w:tabs>
        <w:ind w:left="6480" w:hanging="180"/>
      </w:pPr>
    </w:lvl>
  </w:abstractNum>
  <w:abstractNum w:abstractNumId="2">
    <w:lvl w:ilvl="0">
      <w:start w:val="1"/>
      <w:numFmt w:val="decimal"/>
      <w:lvlText w:val="%1"/>
      <w:lvlJc w:val="left"/>
      <w:pPr>
        <w:tabs>
          <w:tab w:val="num" w:pos="540"/>
        </w:tabs>
        <w:ind w:left="540" w:hanging="360"/>
      </w:pPr>
      <w:rPr>
        <w:rFonts w:eastAsia="Times New Roman" w:cs="Times New Roman"/>
      </w:rPr>
    </w:lvl>
    <w:lvl w:ilvl="1">
      <w:start w:val="1"/>
      <w:numFmt w:val="decimal"/>
      <w:lvlText w:val="%1.%2"/>
      <w:lvlJc w:val="left"/>
      <w:pPr>
        <w:tabs>
          <w:tab w:val="num" w:pos="1260"/>
        </w:tabs>
        <w:ind w:left="1260" w:hanging="360"/>
      </w:pPr>
    </w:lvl>
    <w:lvl w:ilvl="2">
      <w:start w:val="1"/>
      <w:numFmt w:val="lowerRoman"/>
      <w:lvlText w:val="%2.%3"/>
      <w:lvlJc w:val="right"/>
      <w:pPr>
        <w:tabs>
          <w:tab w:val="num" w:pos="1980"/>
        </w:tabs>
        <w:ind w:left="1980" w:hanging="180"/>
      </w:pPr>
    </w:lvl>
    <w:lvl w:ilvl="3">
      <w:start w:val="1"/>
      <w:numFmt w:val="decimal"/>
      <w:lvlText w:val="%3.%4"/>
      <w:lvlJc w:val="left"/>
      <w:pPr>
        <w:tabs>
          <w:tab w:val="num" w:pos="2700"/>
        </w:tabs>
        <w:ind w:left="2700" w:hanging="360"/>
      </w:pPr>
    </w:lvl>
    <w:lvl w:ilvl="4">
      <w:start w:val="1"/>
      <w:numFmt w:val="lowerLetter"/>
      <w:lvlText w:val="%4.%5"/>
      <w:lvlJc w:val="left"/>
      <w:pPr>
        <w:tabs>
          <w:tab w:val="num" w:pos="3420"/>
        </w:tabs>
        <w:ind w:left="3420" w:hanging="360"/>
      </w:pPr>
    </w:lvl>
    <w:lvl w:ilvl="5">
      <w:start w:val="1"/>
      <w:numFmt w:val="lowerRoman"/>
      <w:lvlText w:val="%5.%6"/>
      <w:lvlJc w:val="right"/>
      <w:pPr>
        <w:tabs>
          <w:tab w:val="num" w:pos="4140"/>
        </w:tabs>
        <w:ind w:left="4140" w:hanging="180"/>
      </w:pPr>
    </w:lvl>
    <w:lvl w:ilvl="6">
      <w:start w:val="1"/>
      <w:numFmt w:val="decimal"/>
      <w:lvlText w:val="%6.%7"/>
      <w:lvlJc w:val="left"/>
      <w:pPr>
        <w:tabs>
          <w:tab w:val="num" w:pos="4860"/>
        </w:tabs>
        <w:ind w:left="4860" w:hanging="360"/>
      </w:pPr>
    </w:lvl>
    <w:lvl w:ilvl="7">
      <w:start w:val="1"/>
      <w:numFmt w:val="lowerLetter"/>
      <w:lvlText w:val="%7.%8"/>
      <w:lvlJc w:val="left"/>
      <w:pPr>
        <w:tabs>
          <w:tab w:val="num" w:pos="5580"/>
        </w:tabs>
        <w:ind w:left="5580" w:hanging="360"/>
      </w:pPr>
    </w:lvl>
    <w:lvl w:ilvl="8">
      <w:start w:val="1"/>
      <w:numFmt w:val="lowerRoman"/>
      <w:lvlText w:val="%8.%9"/>
      <w:lvlJc w:val="right"/>
      <w:pPr>
        <w:tabs>
          <w:tab w:val="num" w:pos="6300"/>
        </w:tabs>
        <w:ind w:left="630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bg-BG"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bg-BG" w:eastAsia="zh-CN" w:bidi="hi-IN"/>
    </w:rPr>
  </w:style>
  <w:style w:type="character" w:styleId="DefaultParagraphFont">
    <w:name w:val="Default Paragraph Font"/>
    <w:qFormat/>
    <w:rPr/>
  </w:style>
  <w:style w:type="character" w:styleId="Appleconvertedspace">
    <w:name w:val="apple-converted-space"/>
    <w:basedOn w:val="DefaultParagraphFont"/>
    <w:qFormat/>
    <w:rPr/>
  </w:style>
  <w:style w:type="paragraph" w:styleId="Style14">
    <w:name w:val="Заглавие"/>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
    <w:basedOn w:val="Normal"/>
    <w:qFormat/>
    <w:pPr>
      <w:suppressLineNumbers/>
    </w:pPr>
    <w:rPr>
      <w:rFonts w:cs="Arial"/>
    </w:rPr>
  </w:style>
  <w:style w:type="paragraph" w:styleId="NoSpacing">
    <w:name w:val="No Spacing"/>
    <w:qFormat/>
    <w:pPr>
      <w:widowControl/>
      <w:suppressAutoHyphens w:val="true"/>
      <w:overflowPunct w:val="false"/>
      <w:bidi w:val="0"/>
      <w:spacing w:lineRule="auto" w:line="240" w:before="0" w:after="0"/>
      <w:jc w:val="left"/>
    </w:pPr>
    <w:rPr>
      <w:rFonts w:ascii="Liberation Serif" w:hAnsi="Liberation Serif" w:eastAsia="NSimSun" w:cs="Arial"/>
      <w:color w:val="auto"/>
      <w:kern w:val="2"/>
      <w:sz w:val="24"/>
      <w:szCs w:val="24"/>
      <w:lang w:val="bg-BG" w:eastAsia="zh-CN" w:bidi="hi-IN"/>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LibreOffice/6.4.5.2$Windows_X86_64 LibreOffice_project/a726b36747cf2001e06b58ad5db1aa3a9a1872d6</Application>
  <Pages>4</Pages>
  <Words>2022</Words>
  <Characters>11511</Characters>
  <CharactersWithSpaces>13535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2022-03-25T10:21:03Z</dcterms:created>
  <dc:creator/>
  <dc:description/>
  <dc:language>bg-BG</dc:language>
  <cp:lastModifiedBy/>
  <dcterms:modified xsi:type="dcterms:W3CDTF">2022-03-25T15:37:40Z</dcterms:modified>
  <cp:revision>3</cp:revision>
  <dc:subject/>
  <dc:title/>
</cp:coreProperties>
</file>